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2665"/>
      </w:tblGrid>
      <w:tr w:rsidR="00807C46" w14:paraId="7C48C030" w14:textId="77777777">
        <w:trPr>
          <w:jc w:val="center"/>
        </w:trPr>
        <w:tc>
          <w:tcPr>
            <w:tcW w:w="7087" w:type="dxa"/>
            <w:shd w:val="clear" w:color="auto" w:fill="17314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D99FB0" w14:textId="77777777" w:rsidR="00807C46" w:rsidRDefault="00000000">
            <w:r>
              <w:rPr>
                <w:b/>
                <w:color w:val="FFFFFF"/>
                <w:sz w:val="30"/>
              </w:rPr>
              <w:t>ΤΕΧΝΙΚΗ ΠΡΟΔΙΑΓΡΑΦΗ</w:t>
            </w:r>
          </w:p>
        </w:tc>
        <w:tc>
          <w:tcPr>
            <w:tcW w:w="2665" w:type="dxa"/>
            <w:shd w:val="clear" w:color="auto" w:fill="EAF0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D01880" w14:textId="77777777" w:rsidR="00807C46" w:rsidRDefault="00000000">
            <w:pPr>
              <w:jc w:val="center"/>
            </w:pPr>
            <w:r>
              <w:rPr>
                <w:b/>
                <w:color w:val="173148"/>
                <w:sz w:val="24"/>
              </w:rPr>
              <w:t>WP1V / WP2V</w:t>
            </w:r>
          </w:p>
        </w:tc>
      </w:tr>
    </w:tbl>
    <w:p w14:paraId="0E01DB8A" w14:textId="77777777" w:rsidR="00807C46" w:rsidRDefault="00807C46"/>
    <w:p w14:paraId="784FF866" w14:textId="77777777" w:rsidR="00807C46" w:rsidRPr="00AB53A6" w:rsidRDefault="00000000">
      <w:pPr>
        <w:pStyle w:val="Title"/>
        <w:rPr>
          <w:lang w:val="el-GR"/>
        </w:rPr>
      </w:pPr>
      <w:proofErr w:type="spellStart"/>
      <w:r w:rsidRPr="00AB53A6">
        <w:rPr>
          <w:lang w:val="el-GR"/>
        </w:rPr>
        <w:t>Επισμαλτωμένο</w:t>
      </w:r>
      <w:proofErr w:type="spellEnd"/>
      <w:r w:rsidRPr="00AB53A6">
        <w:rPr>
          <w:lang w:val="el-GR"/>
        </w:rPr>
        <w:t xml:space="preserve"> </w:t>
      </w:r>
      <w:r>
        <w:t>boiler</w:t>
      </w:r>
      <w:r w:rsidRPr="00AB53A6">
        <w:rPr>
          <w:lang w:val="el-GR"/>
        </w:rPr>
        <w:t xml:space="preserve"> 1.000 </w:t>
      </w:r>
      <w:r>
        <w:t>L</w:t>
      </w:r>
      <w:r w:rsidRPr="00AB53A6">
        <w:rPr>
          <w:lang w:val="el-GR"/>
        </w:rPr>
        <w:br/>
      </w:r>
      <w:r w:rsidRPr="00AB53A6">
        <w:rPr>
          <w:sz w:val="38"/>
          <w:lang w:val="el-GR"/>
        </w:rPr>
        <w:t>για παραγωγή και αποθήκευση ΖΝΧ με αντλία θερμότητας</w:t>
      </w:r>
    </w:p>
    <w:p w14:paraId="2EF954E5" w14:textId="58225BBD" w:rsidR="00807C46" w:rsidRPr="00AB53A6" w:rsidRDefault="00000000">
      <w:pPr>
        <w:pStyle w:val="Subtitle"/>
        <w:rPr>
          <w:lang w:val="el-GR"/>
        </w:rPr>
      </w:pPr>
      <w:r w:rsidRPr="00AB53A6">
        <w:rPr>
          <w:lang w:val="el-GR"/>
        </w:rPr>
        <w:t xml:space="preserve">Προδιαγραφή για μελετητές και τεχνικά γραφεία </w:t>
      </w:r>
      <w:r w:rsidR="00AB53A6">
        <w:rPr>
          <w:lang w:val="el-GR"/>
        </w:rPr>
        <w:t>–</w:t>
      </w:r>
      <w:r w:rsidRPr="00AB53A6">
        <w:rPr>
          <w:lang w:val="el-GR"/>
        </w:rPr>
        <w:t xml:space="preserve"> </w:t>
      </w:r>
      <w:r w:rsidR="00AB53A6">
        <w:rPr>
          <w:lang w:val="el-GR"/>
        </w:rPr>
        <w:t>ως οδηγός</w:t>
      </w:r>
      <w:r w:rsidRPr="00AB53A6">
        <w:rPr>
          <w:lang w:val="el-GR"/>
        </w:rPr>
        <w:t xml:space="preserve"> για ένταξη σε τεύχη προδιαγραφών / προσφορών.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3118"/>
        <w:gridCol w:w="20"/>
      </w:tblGrid>
      <w:tr w:rsidR="00807C46" w:rsidRPr="00AB53A6" w14:paraId="015576F9" w14:textId="77777777">
        <w:trPr>
          <w:jc w:val="center"/>
        </w:trPr>
        <w:tc>
          <w:tcPr>
            <w:tcW w:w="6236" w:type="dxa"/>
            <w:shd w:val="clear" w:color="auto" w:fill="F7FAFD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E3AA7FD" w14:textId="77777777" w:rsidR="00807C46" w:rsidRPr="00AB53A6" w:rsidRDefault="00000000">
            <w:pPr>
              <w:pStyle w:val="BodyTight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ΕΝΔΕΙΚΤΙΚΟΣ ΤΥΠΟΣ: </w:t>
            </w:r>
            <w:r>
              <w:t>TML</w:t>
            </w:r>
            <w:r w:rsidRPr="00AB53A6">
              <w:rPr>
                <w:lang w:val="el-GR"/>
              </w:rPr>
              <w:t xml:space="preserve"> </w:t>
            </w:r>
            <w:r>
              <w:t>WP</w:t>
            </w:r>
            <w:r w:rsidRPr="00AB53A6">
              <w:rPr>
                <w:lang w:val="el-GR"/>
              </w:rPr>
              <w:t>2</w:t>
            </w:r>
            <w:r>
              <w:t>V</w:t>
            </w:r>
            <w:r w:rsidRPr="00AB53A6">
              <w:rPr>
                <w:lang w:val="el-GR"/>
              </w:rPr>
              <w:t xml:space="preserve"> 1000 </w:t>
            </w:r>
            <w:r>
              <w:t>R</w:t>
            </w:r>
            <w:r w:rsidRPr="00AB53A6">
              <w:rPr>
                <w:lang w:val="el-GR"/>
              </w:rPr>
              <w:br/>
            </w:r>
          </w:p>
          <w:p w14:paraId="1B4B63BD" w14:textId="77777777" w:rsidR="00807C46" w:rsidRPr="00AB53A6" w:rsidRDefault="00000000">
            <w:pPr>
              <w:pStyle w:val="BodyTight"/>
              <w:ind w:left="170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• </w:t>
            </w:r>
            <w:r w:rsidRPr="00AB53A6">
              <w:rPr>
                <w:lang w:val="el-GR"/>
              </w:rPr>
              <w:t xml:space="preserve">Ονομαστική χωρητικότητα: 1.000 </w:t>
            </w:r>
            <w:r>
              <w:t>L</w:t>
            </w:r>
          </w:p>
          <w:p w14:paraId="363E006F" w14:textId="77777777" w:rsidR="00807C46" w:rsidRPr="00AB53A6" w:rsidRDefault="00000000">
            <w:pPr>
              <w:pStyle w:val="BodyTight"/>
              <w:ind w:left="170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• </w:t>
            </w:r>
            <w:r w:rsidRPr="00AB53A6">
              <w:rPr>
                <w:lang w:val="el-GR"/>
              </w:rPr>
              <w:t xml:space="preserve">Πραγματική χωρητικότητα: τουλάχιστον 931,5 </w:t>
            </w:r>
            <w:r>
              <w:t>L</w:t>
            </w:r>
          </w:p>
          <w:p w14:paraId="03A373B3" w14:textId="77777777" w:rsidR="00807C46" w:rsidRPr="00AB53A6" w:rsidRDefault="00000000">
            <w:pPr>
              <w:pStyle w:val="BodyTight"/>
              <w:ind w:left="170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• </w:t>
            </w:r>
            <w:r w:rsidRPr="00AB53A6">
              <w:rPr>
                <w:lang w:val="el-GR"/>
              </w:rPr>
              <w:t xml:space="preserve">Κύριος εναλλάκτης Α/Θ: 6,0 </w:t>
            </w:r>
            <w:r>
              <w:t>m</w:t>
            </w:r>
            <w:r w:rsidRPr="00AB53A6">
              <w:rPr>
                <w:lang w:val="el-GR"/>
              </w:rPr>
              <w:t xml:space="preserve">² / 58,8 </w:t>
            </w:r>
            <w:r>
              <w:t>L</w:t>
            </w:r>
          </w:p>
          <w:p w14:paraId="309A578B" w14:textId="77777777" w:rsidR="00807C46" w:rsidRPr="00AB53A6" w:rsidRDefault="00000000">
            <w:pPr>
              <w:pStyle w:val="BodyTight"/>
              <w:ind w:left="170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• </w:t>
            </w:r>
            <w:r w:rsidRPr="00AB53A6">
              <w:rPr>
                <w:lang w:val="el-GR"/>
              </w:rPr>
              <w:t xml:space="preserve">Δεύτερος εναλλάκτης: 3,3 </w:t>
            </w:r>
            <w:r>
              <w:t>m</w:t>
            </w:r>
            <w:r w:rsidRPr="00AB53A6">
              <w:rPr>
                <w:lang w:val="el-GR"/>
              </w:rPr>
              <w:t xml:space="preserve">² / 32,3 </w:t>
            </w:r>
            <w:r>
              <w:t>L</w:t>
            </w:r>
          </w:p>
          <w:p w14:paraId="2C1D4E35" w14:textId="77777777" w:rsidR="00807C46" w:rsidRPr="00AB53A6" w:rsidRDefault="00000000">
            <w:pPr>
              <w:pStyle w:val="BodyTight"/>
              <w:ind w:left="170"/>
              <w:rPr>
                <w:lang w:val="el-GR"/>
              </w:rPr>
            </w:pPr>
            <w:r w:rsidRPr="00AB53A6">
              <w:rPr>
                <w:b/>
                <w:lang w:val="el-GR"/>
              </w:rPr>
              <w:t xml:space="preserve">• </w:t>
            </w:r>
            <w:r w:rsidRPr="00AB53A6">
              <w:rPr>
                <w:lang w:val="el-GR"/>
              </w:rPr>
              <w:t xml:space="preserve">Μόνωση: άκαμπτη </w:t>
            </w:r>
            <w:r>
              <w:t>PU</w:t>
            </w:r>
            <w:r w:rsidRPr="00AB53A6">
              <w:rPr>
                <w:lang w:val="el-GR"/>
              </w:rPr>
              <w:t xml:space="preserve"> 100 </w:t>
            </w:r>
            <w:r>
              <w:t>mm</w:t>
            </w:r>
            <w:r w:rsidRPr="00AB53A6">
              <w:rPr>
                <w:lang w:val="el-GR"/>
              </w:rPr>
              <w:t xml:space="preserve"> με επικάλυψη </w:t>
            </w:r>
            <w:r>
              <w:t>PVC</w:t>
            </w:r>
          </w:p>
          <w:p w14:paraId="7B4E1181" w14:textId="77777777" w:rsidR="00807C46" w:rsidRDefault="00000000">
            <w:pPr>
              <w:pStyle w:val="BodyTight"/>
              <w:ind w:left="170"/>
            </w:pPr>
            <w:r>
              <w:rPr>
                <w:b/>
              </w:rPr>
              <w:t xml:space="preserve">• </w:t>
            </w:r>
            <w:r>
              <w:t>Απ</w:t>
            </w:r>
            <w:proofErr w:type="spellStart"/>
            <w:r>
              <w:t>ώλειες</w:t>
            </w:r>
            <w:proofErr w:type="spellEnd"/>
            <w:r>
              <w:t>: &lt;= 110,5 W</w:t>
            </w:r>
          </w:p>
        </w:tc>
        <w:tc>
          <w:tcPr>
            <w:tcW w:w="3118" w:type="dxa"/>
            <w:gridSpan w:val="2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7D028249" w14:textId="77777777" w:rsidR="00807C4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1F550B" wp14:editId="670E6421">
                  <wp:extent cx="1872000" cy="1602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708C660-2C80-44D7-ABBF-A18CD18ABAB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160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D3775" w14:textId="77777777" w:rsidR="00807C46" w:rsidRPr="00AB53A6" w:rsidRDefault="00000000">
            <w:pPr>
              <w:pStyle w:val="SmallGray"/>
              <w:jc w:val="center"/>
              <w:rPr>
                <w:lang w:val="el-GR"/>
              </w:rPr>
            </w:pPr>
            <w:r w:rsidRPr="00AB53A6">
              <w:rPr>
                <w:lang w:val="el-GR"/>
              </w:rPr>
              <w:t xml:space="preserve">Σχηματική κάτοψη διπλής σπείρας του κύριου </w:t>
            </w:r>
            <w:proofErr w:type="spellStart"/>
            <w:r w:rsidRPr="00AB53A6">
              <w:rPr>
                <w:lang w:val="el-GR"/>
              </w:rPr>
              <w:t>εναλλάκτη</w:t>
            </w:r>
            <w:proofErr w:type="spellEnd"/>
            <w:r w:rsidRPr="00AB53A6">
              <w:rPr>
                <w:lang w:val="el-GR"/>
              </w:rPr>
              <w:t>.</w:t>
            </w:r>
          </w:p>
        </w:tc>
      </w:tr>
      <w:tr w:rsidR="00807C46" w:rsidRPr="00AB53A6" w14:paraId="167E4594" w14:textId="77777777">
        <w:tblPrEx>
          <w:tblBorders>
            <w:top w:val="single" w:sz="8" w:space="0" w:color="B9CBE6"/>
            <w:left w:val="single" w:sz="8" w:space="0" w:color="B9CBE6"/>
            <w:bottom w:val="single" w:sz="8" w:space="0" w:color="B9CBE6"/>
            <w:right w:val="single" w:sz="8" w:space="0" w:color="B9CBE6"/>
            <w:insideH w:val="single" w:sz="8" w:space="0" w:color="B9CBE6"/>
            <w:insideV w:val="single" w:sz="8" w:space="0" w:color="B9CBE6"/>
          </w:tblBorders>
        </w:tblPrEx>
        <w:trPr>
          <w:gridAfter w:val="1"/>
          <w:wAfter w:w="20" w:type="dxa"/>
          <w:jc w:val="center"/>
        </w:trPr>
        <w:tc>
          <w:tcPr>
            <w:tcW w:w="9354" w:type="dxa"/>
            <w:gridSpan w:val="2"/>
            <w:shd w:val="clear" w:color="auto" w:fill="EEF4FB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6C1DE69" w14:textId="77777777" w:rsidR="00807C46" w:rsidRPr="00AB53A6" w:rsidRDefault="00000000">
            <w:pPr>
              <w:pStyle w:val="BodyTight"/>
              <w:rPr>
                <w:lang w:val="el-GR"/>
              </w:rPr>
            </w:pPr>
            <w:r w:rsidRPr="00AB53A6">
              <w:rPr>
                <w:b/>
                <w:color w:val="173148"/>
                <w:lang w:val="el-GR"/>
              </w:rPr>
              <w:t xml:space="preserve">Κρίσιμη λειτουργική απαίτηση: </w:t>
            </w:r>
            <w:r w:rsidRPr="00AB53A6">
              <w:rPr>
                <w:lang w:val="el-GR"/>
              </w:rPr>
              <w:t>ο κύριος εναλλάκτης της αντλίας θερμότητας θα είναι διπλής σπείρας / διπλής διαδρομής, και δεν θα εκτείνεται σε όλο το ύψος του δοχείου αλλά μόνο στο λειτουργικά ενεργό τμήμα του, ώστε η θερμότητα να αποδίδεται κυρίως στη ζώνη νερού που μπορεί πράγματι να την απορροφήσει.</w:t>
            </w:r>
          </w:p>
        </w:tc>
      </w:tr>
    </w:tbl>
    <w:p w14:paraId="053FFF22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1. Αντικείμενο</w:t>
      </w:r>
    </w:p>
    <w:p w14:paraId="032B6FF5" w14:textId="35B05FA6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Η παρούσα προδιαγραφή αφορά </w:t>
      </w:r>
      <w:proofErr w:type="spellStart"/>
      <w:r w:rsidRPr="00AB53A6">
        <w:rPr>
          <w:lang w:val="el-GR"/>
        </w:rPr>
        <w:t>επισμαλτωμένο</w:t>
      </w:r>
      <w:proofErr w:type="spellEnd"/>
      <w:r w:rsidRPr="00AB53A6">
        <w:rPr>
          <w:lang w:val="el-GR"/>
        </w:rPr>
        <w:t xml:space="preserve"> κατακόρυφο </w:t>
      </w:r>
      <w:r>
        <w:t>boiler</w:t>
      </w:r>
      <w:r w:rsidRPr="00AB53A6">
        <w:rPr>
          <w:lang w:val="el-GR"/>
        </w:rPr>
        <w:t xml:space="preserve"> αποθήκευσης ζεστού νερού χρήσης (ΖΝΧ), ονομαστικής χωρητικότητας 1.000 </w:t>
      </w:r>
      <w:r>
        <w:t>L</w:t>
      </w:r>
      <w:r w:rsidRPr="00AB53A6">
        <w:rPr>
          <w:lang w:val="el-GR"/>
        </w:rPr>
        <w:t xml:space="preserve">, με κύριο εσωτερικό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 xml:space="preserve"> ειδικής </w:t>
      </w:r>
      <w:r w:rsidR="00AB53A6">
        <w:rPr>
          <w:lang w:val="el-GR"/>
        </w:rPr>
        <w:t xml:space="preserve">διπλής </w:t>
      </w:r>
      <w:r w:rsidRPr="00AB53A6">
        <w:rPr>
          <w:lang w:val="el-GR"/>
        </w:rPr>
        <w:t xml:space="preserve">γεωμετρίας για συνεργασία με αντλία θερμότητας και δεύτερο εσωτερικό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 xml:space="preserve"> για σύνδεση με συμπληρωματική ή εφεδρική πηγή θερμότητας, όπως λέβητα ή ηλιακό κύκλωμα.</w:t>
      </w:r>
    </w:p>
    <w:p w14:paraId="3472AAC0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2. Δοχείο</w:t>
      </w:r>
    </w:p>
    <w:p w14:paraId="2E0D49B1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δοχείο θα είναι κατακόρυφης τοποθέτησης και θα είναι κατασκευασμένο από ανθρακούχο χάλυβα ποιότητας </w:t>
      </w:r>
      <w:r>
        <w:t>S</w:t>
      </w:r>
      <w:r w:rsidRPr="00AB53A6">
        <w:rPr>
          <w:lang w:val="el-GR"/>
        </w:rPr>
        <w:t>235</w:t>
      </w:r>
      <w:r>
        <w:t>JR</w:t>
      </w:r>
      <w:r w:rsidRPr="00AB53A6">
        <w:rPr>
          <w:lang w:val="el-GR"/>
        </w:rPr>
        <w:t>.</w:t>
      </w:r>
    </w:p>
    <w:p w14:paraId="4ED0CFC9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Η εσωτερική επιφάνεια του δοχείου θα είναι </w:t>
      </w:r>
      <w:proofErr w:type="spellStart"/>
      <w:r w:rsidRPr="00AB53A6">
        <w:rPr>
          <w:lang w:val="el-GR"/>
        </w:rPr>
        <w:t>επισμαλτωμένη</w:t>
      </w:r>
      <w:proofErr w:type="spellEnd"/>
      <w:r w:rsidRPr="00AB53A6">
        <w:rPr>
          <w:lang w:val="el-GR"/>
        </w:rPr>
        <w:t xml:space="preserve"> με ανόργανης προέλευσης σμάλτο κατάλληλο για εφαρμογές σε πόσιμο νερό, σύμφωνα με </w:t>
      </w:r>
      <w:r>
        <w:t>DIN</w:t>
      </w:r>
      <w:r w:rsidRPr="00AB53A6">
        <w:rPr>
          <w:lang w:val="el-GR"/>
        </w:rPr>
        <w:t xml:space="preserve"> 4753-3.</w:t>
      </w:r>
    </w:p>
    <w:p w14:paraId="3BC02C9C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Η ονομαστική χωρητικότητα θα είναι 1.000 </w:t>
      </w:r>
      <w:r>
        <w:t>L</w:t>
      </w:r>
      <w:r w:rsidRPr="00AB53A6">
        <w:rPr>
          <w:lang w:val="el-GR"/>
        </w:rPr>
        <w:t xml:space="preserve"> και η πραγματική χωρητικότητα του δοχείου θα είναι τουλάχιστον 931,5 </w:t>
      </w:r>
      <w:r>
        <w:t>L</w:t>
      </w:r>
      <w:r w:rsidRPr="00AB53A6">
        <w:rPr>
          <w:lang w:val="el-GR"/>
        </w:rPr>
        <w:t>.</w:t>
      </w:r>
    </w:p>
    <w:p w14:paraId="567C274D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Οι μέγιστες συνθήκες λειτουργίας του δοχείου θα είναι τουλάχιστον 8 </w:t>
      </w:r>
      <w:r>
        <w:t>bar</w:t>
      </w:r>
      <w:r w:rsidRPr="00AB53A6">
        <w:rPr>
          <w:lang w:val="el-GR"/>
        </w:rPr>
        <w:t xml:space="preserve"> / 95 °</w:t>
      </w:r>
      <w:r>
        <w:t>C</w:t>
      </w:r>
      <w:r w:rsidRPr="00AB53A6">
        <w:rPr>
          <w:lang w:val="el-GR"/>
        </w:rPr>
        <w:t>.</w:t>
      </w:r>
    </w:p>
    <w:p w14:paraId="73FC8B83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δοχείο θα διαθέτει καθοδική προστασία με </w:t>
      </w:r>
      <w:proofErr w:type="spellStart"/>
      <w:r w:rsidRPr="00AB53A6">
        <w:rPr>
          <w:lang w:val="el-GR"/>
        </w:rPr>
        <w:t>ανόδιο</w:t>
      </w:r>
      <w:proofErr w:type="spellEnd"/>
      <w:r w:rsidRPr="00AB53A6">
        <w:rPr>
          <w:lang w:val="el-GR"/>
        </w:rPr>
        <w:t xml:space="preserve"> μαγνησίου, με δυνατότητα χρήσης ηλεκτρονικού </w:t>
      </w:r>
      <w:proofErr w:type="spellStart"/>
      <w:r w:rsidRPr="00AB53A6">
        <w:rPr>
          <w:lang w:val="el-GR"/>
        </w:rPr>
        <w:t>ανοδίου</w:t>
      </w:r>
      <w:proofErr w:type="spellEnd"/>
      <w:r w:rsidRPr="00AB53A6">
        <w:rPr>
          <w:lang w:val="el-GR"/>
        </w:rPr>
        <w:t xml:space="preserve"> επιβαλλόμενου ρεύματος όπου απαιτείται.</w:t>
      </w:r>
    </w:p>
    <w:p w14:paraId="3A8118ED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Θα διαθέτει κατάλληλη υποδοχή για εφεδρική ηλεκτρική αντίσταση / </w:t>
      </w:r>
      <w:r>
        <w:t>immersion</w:t>
      </w:r>
      <w:r w:rsidRPr="00AB53A6">
        <w:rPr>
          <w:lang w:val="el-GR"/>
        </w:rPr>
        <w:t xml:space="preserve"> </w:t>
      </w:r>
      <w:r>
        <w:t>heater</w:t>
      </w:r>
      <w:r w:rsidRPr="00AB53A6">
        <w:rPr>
          <w:lang w:val="el-GR"/>
        </w:rPr>
        <w:t>.</w:t>
      </w:r>
    </w:p>
    <w:p w14:paraId="05A60B00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lastRenderedPageBreak/>
        <w:t>3. Θερμομόνωση</w:t>
      </w:r>
    </w:p>
    <w:p w14:paraId="4E00BCBE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Η θερμομόνωση θα είναι από άκαμπτο αφρό </w:t>
      </w:r>
      <w:proofErr w:type="spellStart"/>
      <w:r w:rsidRPr="00AB53A6">
        <w:rPr>
          <w:lang w:val="el-GR"/>
        </w:rPr>
        <w:t>πολυουρεθάνης</w:t>
      </w:r>
      <w:proofErr w:type="spellEnd"/>
      <w:r w:rsidRPr="00AB53A6">
        <w:rPr>
          <w:lang w:val="el-GR"/>
        </w:rPr>
        <w:t xml:space="preserve"> πάχους τουλάχιστον 100 </w:t>
      </w:r>
      <w:r>
        <w:t>mm</w:t>
      </w:r>
      <w:r w:rsidRPr="00AB53A6">
        <w:rPr>
          <w:lang w:val="el-GR"/>
        </w:rPr>
        <w:t xml:space="preserve">, με εξωτερική επένδυση από </w:t>
      </w:r>
      <w:r>
        <w:t>PVC</w:t>
      </w:r>
      <w:r w:rsidRPr="00AB53A6">
        <w:rPr>
          <w:lang w:val="el-GR"/>
        </w:rPr>
        <w:t>.</w:t>
      </w:r>
    </w:p>
    <w:p w14:paraId="0D559247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Οι θερμικές απώλειες του συγκροτήματος θα είναι ίσες ή μικρότερες από 110,5 </w:t>
      </w:r>
      <w:r>
        <w:t>W</w:t>
      </w:r>
      <w:r w:rsidRPr="00AB53A6">
        <w:rPr>
          <w:lang w:val="el-GR"/>
        </w:rPr>
        <w:t xml:space="preserve"> για τη χωρητικότητα των 1.000 </w:t>
      </w:r>
      <w:r>
        <w:t>L</w:t>
      </w:r>
      <w:r w:rsidRPr="00AB53A6">
        <w:rPr>
          <w:lang w:val="el-GR"/>
        </w:rPr>
        <w:t>.</w:t>
      </w:r>
    </w:p>
    <w:p w14:paraId="26D96BB0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4. Κύριος εναλλάκτης για αντλία θερμότητας</w:t>
      </w:r>
    </w:p>
    <w:p w14:paraId="7E04F3C2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δοχείο θα φέρει κύριο σταθερό εσωτερικό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 xml:space="preserve"> συνολικής επιφάνειας τουλάχιστον 6,0 </w:t>
      </w:r>
      <w:r>
        <w:t>m</w:t>
      </w:r>
      <w:r w:rsidRPr="00AB53A6">
        <w:rPr>
          <w:lang w:val="el-GR"/>
        </w:rPr>
        <w:t xml:space="preserve">² και εσωτερικού όγκου τουλάχιστον 58,8 </w:t>
      </w:r>
      <w:r>
        <w:t>L</w:t>
      </w:r>
      <w:r w:rsidRPr="00AB53A6">
        <w:rPr>
          <w:lang w:val="el-GR"/>
        </w:rPr>
        <w:t>, ειδικά σχεδιασμένο για λειτουργία με αντλία θερμότητας.</w:t>
      </w:r>
    </w:p>
    <w:p w14:paraId="1F085BDB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 κύριος εναλλάκτης δεν θα είναι απλής </w:t>
      </w:r>
      <w:proofErr w:type="spellStart"/>
      <w:r w:rsidRPr="00AB53A6">
        <w:rPr>
          <w:lang w:val="el-GR"/>
        </w:rPr>
        <w:t>μονοσωλήνιας</w:t>
      </w:r>
      <w:proofErr w:type="spellEnd"/>
      <w:r w:rsidRPr="00AB53A6">
        <w:rPr>
          <w:lang w:val="el-GR"/>
        </w:rPr>
        <w:t xml:space="preserve"> μορφής, αλλά διπλής σπείρας / διπλής διαδρομής. Η ροή του πρωτεύοντος μέσου θα εισέρχεται σε έναν συλλέκτη, θα διαχωρίζεται σε δύο παράλληλους σωληνωτούς κλάδους, οι οποίοι θα αναπτύσσονται ελικοειδώς εντός του δοχείου, και θα </w:t>
      </w:r>
      <w:proofErr w:type="spellStart"/>
      <w:r w:rsidRPr="00AB53A6">
        <w:rPr>
          <w:lang w:val="el-GR"/>
        </w:rPr>
        <w:t>επανενώνονται</w:t>
      </w:r>
      <w:proofErr w:type="spellEnd"/>
      <w:r w:rsidRPr="00AB53A6">
        <w:rPr>
          <w:lang w:val="el-GR"/>
        </w:rPr>
        <w:t xml:space="preserve"> πριν από την έξοδο.</w:t>
      </w:r>
    </w:p>
    <w:p w14:paraId="1EB89622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>Η παραπάνω γεωμετρία θα εξασφαλίζει μεγάλη ενεργό επιφάνεια ανταλλαγής, βελτιωμένη κατανομή ροής και αποδοτικότερη μεταφορά θερμότητας σε συνθήκες χαμηλότερων θερμοκρασιών προσαγωγής, όπως απαιτεί η λειτουργία με αντλία θερμότητας.</w:t>
      </w:r>
    </w:p>
    <w:p w14:paraId="2A646B52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>Ο εναλλάκτης δεν θα εκτείνεται σε όλο το ύψος του δοχείου αλλά μόνο στο λειτουργικά ενεργό τμήμα του. Η διάταξη αυτή θα επιτρέπει την απόδοση της ισχύος του πρωτεύοντος κυρίως στον ψυχρότερο όγκο νερού, όπου υπάρχει διαθέσιμη διαφορά θερμοκρασίας και πραγματική ικανότητα απορρόφησης θερμικής ενέργειας.</w:t>
      </w:r>
    </w:p>
    <w:p w14:paraId="697601E0" w14:textId="5495C11F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Θα θεωρείται ουσιώδες τεχνικό χαρακτηριστικό ότι το ήδη θερμό ανώτερο στρώμα του δοχείου δεν θα επιβαρύνεται άσκοπα με πρόσθετη επιφάνεια εναλλαγής, καθώς σε αυτή τη ζώνη η μεταφορά θερμότητας από το επίσης θερμό πρωτεύον μέσο είναι περιορισμένη. Η σχεδίαση αυτή θα συμβάλλει στη σωστή </w:t>
      </w:r>
      <w:r w:rsidR="00AB53A6">
        <w:rPr>
          <w:lang w:val="el-GR"/>
        </w:rPr>
        <w:t>δια</w:t>
      </w:r>
      <w:r w:rsidRPr="00AB53A6">
        <w:rPr>
          <w:lang w:val="el-GR"/>
        </w:rPr>
        <w:t>στρωμάτωση και στη σταθερότερη συνεργασία με την αντλία θερμότητας.</w:t>
      </w:r>
    </w:p>
    <w:p w14:paraId="6F32ED73" w14:textId="77777777" w:rsidR="00807C46" w:rsidRDefault="00000000">
      <w:pPr>
        <w:jc w:val="center"/>
      </w:pPr>
      <w:r>
        <w:rPr>
          <w:noProof/>
        </w:rPr>
        <w:drawing>
          <wp:inline distT="0" distB="0" distL="0" distR="0" wp14:anchorId="2E243DBA" wp14:editId="3F60C616">
            <wp:extent cx="2448000" cy="17803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DC96D4-F638-49C7-A2CA-1BE57F67628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78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C5761" w14:textId="77777777" w:rsidR="00807C46" w:rsidRPr="00AB53A6" w:rsidRDefault="00000000">
      <w:pPr>
        <w:pStyle w:val="SmallGray"/>
        <w:jc w:val="center"/>
        <w:rPr>
          <w:lang w:val="el-GR"/>
        </w:rPr>
      </w:pPr>
      <w:r w:rsidRPr="00AB53A6">
        <w:rPr>
          <w:lang w:val="el-GR"/>
        </w:rPr>
        <w:t xml:space="preserve">Ενδεικτική εικόνα του διπλού σπειροειδούς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>.</w:t>
      </w:r>
    </w:p>
    <w:p w14:paraId="2D40EECB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5. Δεύτερος εναλλάκτης</w:t>
      </w:r>
    </w:p>
    <w:p w14:paraId="2F15B152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δοχείο θα φέρει δεύτερο σταθερό εσωτερικό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 xml:space="preserve"> επιφάνειας τουλάχιστον 3,3 </w:t>
      </w:r>
      <w:r>
        <w:t>m</w:t>
      </w:r>
      <w:r w:rsidRPr="00AB53A6">
        <w:rPr>
          <w:lang w:val="el-GR"/>
        </w:rPr>
        <w:t xml:space="preserve">² και εσωτερικού όγκου τουλάχιστον 32,3 </w:t>
      </w:r>
      <w:r>
        <w:t>L</w:t>
      </w:r>
      <w:r w:rsidRPr="00AB53A6">
        <w:rPr>
          <w:lang w:val="el-GR"/>
        </w:rPr>
        <w:t>.</w:t>
      </w:r>
    </w:p>
    <w:p w14:paraId="6E406CE1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 δεύτερος εναλλάκτης θα είναι κατάλληλος για σύνδεση με άλλη πηγή θερμότητας, όπως λέβητα ή ηλιακό κύκλωμα, και θα επιτρέπει την αξιοποίηση εφεδρικής ή συμπληρωματικής ενέργειας χωρίς να αλλοιώνεται ο βασικός ρόλος του κύριου </w:t>
      </w:r>
      <w:proofErr w:type="spellStart"/>
      <w:r w:rsidRPr="00AB53A6">
        <w:rPr>
          <w:lang w:val="el-GR"/>
        </w:rPr>
        <w:t>εναλλάκτη</w:t>
      </w:r>
      <w:proofErr w:type="spellEnd"/>
      <w:r w:rsidRPr="00AB53A6">
        <w:rPr>
          <w:lang w:val="el-GR"/>
        </w:rPr>
        <w:t xml:space="preserve"> της αντλίας θερμότητας.</w:t>
      </w:r>
    </w:p>
    <w:p w14:paraId="389DE8A1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 xml:space="preserve">6. Κατασκευή </w:t>
      </w:r>
      <w:proofErr w:type="spellStart"/>
      <w:r w:rsidRPr="00AB53A6">
        <w:rPr>
          <w:lang w:val="el-GR"/>
        </w:rPr>
        <w:t>εναλλακτών</w:t>
      </w:r>
      <w:proofErr w:type="spellEnd"/>
    </w:p>
    <w:p w14:paraId="1CF229C1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Οι </w:t>
      </w:r>
      <w:proofErr w:type="spellStart"/>
      <w:r w:rsidRPr="00AB53A6">
        <w:rPr>
          <w:lang w:val="el-GR"/>
        </w:rPr>
        <w:t>εναλλάκτες</w:t>
      </w:r>
      <w:proofErr w:type="spellEnd"/>
      <w:r w:rsidRPr="00AB53A6">
        <w:rPr>
          <w:lang w:val="el-GR"/>
        </w:rPr>
        <w:t xml:space="preserve"> θα είναι κατασκευασμένοι από ανθρακούχο χάλυβα </w:t>
      </w:r>
      <w:r>
        <w:t>S</w:t>
      </w:r>
      <w:r w:rsidRPr="00AB53A6">
        <w:rPr>
          <w:lang w:val="el-GR"/>
        </w:rPr>
        <w:t>235</w:t>
      </w:r>
      <w:r>
        <w:t>JR</w:t>
      </w:r>
      <w:r w:rsidRPr="00AB53A6">
        <w:rPr>
          <w:lang w:val="el-GR"/>
        </w:rPr>
        <w:t>.</w:t>
      </w:r>
    </w:p>
    <w:p w14:paraId="11388C9C" w14:textId="049BDD7D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lastRenderedPageBreak/>
        <w:t>Οι ε</w:t>
      </w:r>
      <w:r w:rsidR="00AB53A6">
        <w:rPr>
          <w:lang w:val="el-GR"/>
        </w:rPr>
        <w:t>ξ</w:t>
      </w:r>
      <w:r w:rsidRPr="00AB53A6">
        <w:rPr>
          <w:lang w:val="el-GR"/>
        </w:rPr>
        <w:t xml:space="preserve">ωτερικές επιφάνειες των </w:t>
      </w:r>
      <w:proofErr w:type="spellStart"/>
      <w:r w:rsidRPr="00AB53A6">
        <w:rPr>
          <w:lang w:val="el-GR"/>
        </w:rPr>
        <w:t>εναλλακτών</w:t>
      </w:r>
      <w:proofErr w:type="spellEnd"/>
      <w:r w:rsidRPr="00AB53A6">
        <w:rPr>
          <w:lang w:val="el-GR"/>
        </w:rPr>
        <w:t xml:space="preserve"> θα είναι </w:t>
      </w:r>
      <w:proofErr w:type="spellStart"/>
      <w:r w:rsidRPr="00AB53A6">
        <w:rPr>
          <w:lang w:val="el-GR"/>
        </w:rPr>
        <w:t>επισμαλτωμένες</w:t>
      </w:r>
      <w:proofErr w:type="spellEnd"/>
      <w:r w:rsidRPr="00AB53A6">
        <w:rPr>
          <w:lang w:val="el-GR"/>
        </w:rPr>
        <w:t xml:space="preserve"> με την ίδια τεχνική προστασίας που εφαρμόζεται και στο δοχείο, σύμφωνα με </w:t>
      </w:r>
      <w:r>
        <w:t>DIN</w:t>
      </w:r>
      <w:r w:rsidRPr="00AB53A6">
        <w:rPr>
          <w:lang w:val="el-GR"/>
        </w:rPr>
        <w:t xml:space="preserve"> 4753-3.</w:t>
      </w:r>
    </w:p>
    <w:p w14:paraId="4176F8B1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Οι μέγιστες συνθήκες λειτουργίας των </w:t>
      </w:r>
      <w:proofErr w:type="spellStart"/>
      <w:r w:rsidRPr="00AB53A6">
        <w:rPr>
          <w:lang w:val="el-GR"/>
        </w:rPr>
        <w:t>εναλλακτών</w:t>
      </w:r>
      <w:proofErr w:type="spellEnd"/>
      <w:r w:rsidRPr="00AB53A6">
        <w:rPr>
          <w:lang w:val="el-GR"/>
        </w:rPr>
        <w:t xml:space="preserve"> θα είναι τουλάχιστον 10 </w:t>
      </w:r>
      <w:r>
        <w:t>bar</w:t>
      </w:r>
      <w:r w:rsidRPr="00AB53A6">
        <w:rPr>
          <w:lang w:val="el-GR"/>
        </w:rPr>
        <w:t xml:space="preserve"> / 95 °</w:t>
      </w:r>
      <w:r>
        <w:t>C</w:t>
      </w:r>
      <w:r w:rsidRPr="00AB53A6">
        <w:rPr>
          <w:lang w:val="el-GR"/>
        </w:rPr>
        <w:t>.</w:t>
      </w:r>
    </w:p>
    <w:p w14:paraId="0C2F64BD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7. Πιστοποιήσεις και συμμόρφωση</w:t>
      </w:r>
    </w:p>
    <w:p w14:paraId="11385040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μηχάνημα και ο κατασκευαστής θα φέρουν όλα τα απαιτούμενα πιστοποιητικά, δηλώσεις και τεχνικά έγγραφα που τεκμηριώνουν τη νομιμότητα, την </w:t>
      </w:r>
      <w:proofErr w:type="spellStart"/>
      <w:r w:rsidRPr="00AB53A6">
        <w:rPr>
          <w:lang w:val="el-GR"/>
        </w:rPr>
        <w:t>καταλληλότητα</w:t>
      </w:r>
      <w:proofErr w:type="spellEnd"/>
      <w:r w:rsidRPr="00AB53A6">
        <w:rPr>
          <w:lang w:val="el-GR"/>
        </w:rPr>
        <w:t xml:space="preserve"> και την ποιότητα της κατασκευής.</w:t>
      </w:r>
    </w:p>
    <w:p w14:paraId="386B5375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Το δοχείο θα είναι κατ’ ελάχιστον σύμφωνο με την </w:t>
      </w:r>
      <w:r>
        <w:t>Pressure</w:t>
      </w:r>
      <w:r w:rsidRPr="00AB53A6">
        <w:rPr>
          <w:lang w:val="el-GR"/>
        </w:rPr>
        <w:t xml:space="preserve"> </w:t>
      </w:r>
      <w:r>
        <w:t>Equipment</w:t>
      </w:r>
      <w:r w:rsidRPr="00AB53A6">
        <w:rPr>
          <w:lang w:val="el-GR"/>
        </w:rPr>
        <w:t xml:space="preserve"> </w:t>
      </w:r>
      <w:r>
        <w:t>Directive</w:t>
      </w:r>
      <w:r w:rsidRPr="00AB53A6">
        <w:rPr>
          <w:lang w:val="el-GR"/>
        </w:rPr>
        <w:t xml:space="preserve"> (</w:t>
      </w:r>
      <w:r>
        <w:t>PED</w:t>
      </w:r>
      <w:r w:rsidRPr="00AB53A6">
        <w:rPr>
          <w:lang w:val="el-GR"/>
        </w:rPr>
        <w:t>) 2014/68/</w:t>
      </w:r>
      <w:r>
        <w:t>EU</w:t>
      </w:r>
      <w:r w:rsidRPr="00AB53A6">
        <w:rPr>
          <w:lang w:val="el-GR"/>
        </w:rPr>
        <w:t xml:space="preserve">, </w:t>
      </w:r>
      <w:r>
        <w:t>Article</w:t>
      </w:r>
      <w:r w:rsidRPr="00AB53A6">
        <w:rPr>
          <w:lang w:val="el-GR"/>
        </w:rPr>
        <w:t xml:space="preserve"> 4(3).</w:t>
      </w:r>
    </w:p>
    <w:p w14:paraId="086D8FCA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 xml:space="preserve">Θα διαθέτει ενεργειακή τεκμηρίωση / πιστοποίηση σύμφωνα με την οδηγία </w:t>
      </w:r>
      <w:proofErr w:type="spellStart"/>
      <w:r>
        <w:t>ErP</w:t>
      </w:r>
      <w:proofErr w:type="spellEnd"/>
      <w:r w:rsidRPr="00AB53A6">
        <w:rPr>
          <w:lang w:val="el-GR"/>
        </w:rPr>
        <w:t xml:space="preserve"> 2009/125/</w:t>
      </w:r>
      <w:r>
        <w:t>EC</w:t>
      </w:r>
      <w:r w:rsidRPr="00AB53A6">
        <w:rPr>
          <w:lang w:val="el-GR"/>
        </w:rPr>
        <w:t>.</w:t>
      </w:r>
    </w:p>
    <w:p w14:paraId="6E31FB84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>Θα είναι κατάλληλο για αποθήκευση πόσιμου νερού σύμφωνα με τις ισχύουσες ευρωπαϊκές απαιτήσεις και τις τεχνικές δηλώσεις του κατασκευαστή.</w:t>
      </w:r>
    </w:p>
    <w:p w14:paraId="0E8AED91" w14:textId="77777777" w:rsidR="00807C46" w:rsidRPr="00AB53A6" w:rsidRDefault="00000000">
      <w:pPr>
        <w:pStyle w:val="GTHeading1"/>
        <w:rPr>
          <w:lang w:val="el-GR"/>
        </w:rPr>
      </w:pPr>
      <w:r w:rsidRPr="00AB53A6">
        <w:rPr>
          <w:lang w:val="el-GR"/>
        </w:rPr>
        <w:t>8. Εγγύηση</w:t>
      </w:r>
    </w:p>
    <w:p w14:paraId="02C89BD6" w14:textId="77777777" w:rsidR="00807C46" w:rsidRPr="00AB53A6" w:rsidRDefault="00000000">
      <w:pPr>
        <w:pStyle w:val="BodyTight"/>
        <w:rPr>
          <w:lang w:val="el-GR"/>
        </w:rPr>
      </w:pPr>
      <w:r w:rsidRPr="00AB53A6">
        <w:rPr>
          <w:lang w:val="el-GR"/>
        </w:rPr>
        <w:t>Το δοχείο θα καλύπτεται από εργοστασιακή εγγύηση καλής κατασκευής διάρκειας τουλάχιστον πέντε (5) ετών.</w:t>
      </w:r>
    </w:p>
    <w:p w14:paraId="650F1125" w14:textId="77777777" w:rsidR="00807C46" w:rsidRDefault="00000000">
      <w:pPr>
        <w:pStyle w:val="GTHeading1"/>
      </w:pPr>
      <w:r>
        <w:t>9. Συνοπτικός πίνακας ελάχιστων απαιτήσεων</w:t>
      </w:r>
    </w:p>
    <w:tbl>
      <w:tblPr>
        <w:tblStyle w:val="TableGrid"/>
        <w:tblW w:w="0" w:type="auto"/>
        <w:jc w:val="center"/>
        <w:tblBorders>
          <w:top w:val="single" w:sz="8" w:space="0" w:color="C7D5EA"/>
          <w:left w:val="single" w:sz="8" w:space="0" w:color="C7D5EA"/>
          <w:bottom w:val="single" w:sz="8" w:space="0" w:color="C7D5EA"/>
          <w:right w:val="single" w:sz="8" w:space="0" w:color="C7D5EA"/>
          <w:insideH w:val="single" w:sz="8" w:space="0" w:color="C7D5EA"/>
          <w:insideV w:val="single" w:sz="8" w:space="0" w:color="C7D5EA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422"/>
      </w:tblGrid>
      <w:tr w:rsidR="00807C46" w14:paraId="5DA600AD" w14:textId="77777777">
        <w:trPr>
          <w:jc w:val="center"/>
        </w:trPr>
        <w:tc>
          <w:tcPr>
            <w:tcW w:w="4989" w:type="dxa"/>
            <w:shd w:val="clear" w:color="auto" w:fill="17314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E119F53" w14:textId="77777777" w:rsidR="00807C4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Χαρακτηριστικό</w:t>
            </w:r>
          </w:p>
        </w:tc>
        <w:tc>
          <w:tcPr>
            <w:tcW w:w="4422" w:type="dxa"/>
            <w:shd w:val="clear" w:color="auto" w:fill="17314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519E654" w14:textId="77777777" w:rsidR="00807C4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Ελάχιστη απαίτηση</w:t>
            </w:r>
          </w:p>
        </w:tc>
      </w:tr>
      <w:tr w:rsidR="00807C46" w14:paraId="286101AA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4474D6B9" w14:textId="77777777" w:rsidR="00807C46" w:rsidRDefault="00000000">
            <w:r>
              <w:rPr>
                <w:b/>
                <w:sz w:val="19"/>
              </w:rPr>
              <w:t>Ονομαστική χωρητικότητα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15E43EF" w14:textId="77777777" w:rsidR="00807C46" w:rsidRDefault="00000000">
            <w:pPr>
              <w:jc w:val="center"/>
            </w:pPr>
            <w:r>
              <w:rPr>
                <w:sz w:val="19"/>
              </w:rPr>
              <w:t>1.000 L</w:t>
            </w:r>
          </w:p>
        </w:tc>
      </w:tr>
      <w:tr w:rsidR="00807C46" w14:paraId="407D13EC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C89A86E" w14:textId="77777777" w:rsidR="00807C46" w:rsidRDefault="00000000">
            <w:r>
              <w:rPr>
                <w:b/>
                <w:sz w:val="19"/>
              </w:rPr>
              <w:t>Πραγματική χωρητικότητα</w:t>
            </w:r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80F5D5A" w14:textId="77777777" w:rsidR="00807C46" w:rsidRDefault="00000000">
            <w:pPr>
              <w:jc w:val="center"/>
            </w:pPr>
            <w:r>
              <w:rPr>
                <w:sz w:val="19"/>
              </w:rPr>
              <w:t>&gt;= 931,5 L</w:t>
            </w:r>
          </w:p>
        </w:tc>
      </w:tr>
      <w:tr w:rsidR="00807C46" w14:paraId="43F851D9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972107D" w14:textId="77777777" w:rsidR="00807C46" w:rsidRDefault="00000000">
            <w:r>
              <w:rPr>
                <w:b/>
                <w:sz w:val="19"/>
              </w:rPr>
              <w:t>Υλικό δοχείου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47EF5763" w14:textId="77777777" w:rsidR="00807C46" w:rsidRDefault="00000000">
            <w:pPr>
              <w:jc w:val="center"/>
            </w:pPr>
            <w:r>
              <w:rPr>
                <w:sz w:val="19"/>
              </w:rPr>
              <w:t>Ανθρακούχος χάλυβας S235JR</w:t>
            </w:r>
          </w:p>
        </w:tc>
      </w:tr>
      <w:tr w:rsidR="00807C46" w14:paraId="2A4714AF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868C65A" w14:textId="77777777" w:rsidR="00807C46" w:rsidRDefault="00000000">
            <w:r>
              <w:rPr>
                <w:b/>
                <w:sz w:val="19"/>
              </w:rPr>
              <w:t>Εσωτερική προστασία</w:t>
            </w:r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68E4056" w14:textId="77777777" w:rsidR="00807C46" w:rsidRDefault="00000000">
            <w:pPr>
              <w:jc w:val="center"/>
            </w:pPr>
            <w:r>
              <w:rPr>
                <w:sz w:val="19"/>
              </w:rPr>
              <w:t>Επισμάλτωση κατά DIN 4753-3</w:t>
            </w:r>
          </w:p>
        </w:tc>
      </w:tr>
      <w:tr w:rsidR="00807C46" w14:paraId="427E44E2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3F15791" w14:textId="77777777" w:rsidR="00807C46" w:rsidRDefault="00000000">
            <w:r>
              <w:rPr>
                <w:b/>
                <w:sz w:val="19"/>
              </w:rPr>
              <w:t>Μέγιστες συνθήκες δοχείου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CB90EEB" w14:textId="77777777" w:rsidR="00807C46" w:rsidRDefault="00000000">
            <w:pPr>
              <w:jc w:val="center"/>
            </w:pPr>
            <w:r>
              <w:rPr>
                <w:sz w:val="19"/>
              </w:rPr>
              <w:t>&gt;= 8 bar / 95 °C</w:t>
            </w:r>
          </w:p>
        </w:tc>
      </w:tr>
      <w:tr w:rsidR="00807C46" w:rsidRPr="00AB53A6" w14:paraId="24D43FF4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1256115" w14:textId="77777777" w:rsidR="00807C46" w:rsidRDefault="00000000">
            <w:r>
              <w:rPr>
                <w:b/>
                <w:sz w:val="19"/>
              </w:rPr>
              <w:t>Θερμομόνωση</w:t>
            </w:r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20A00FA" w14:textId="77777777" w:rsidR="00807C46" w:rsidRPr="00AB53A6" w:rsidRDefault="00000000">
            <w:pPr>
              <w:jc w:val="center"/>
              <w:rPr>
                <w:lang w:val="el-GR"/>
              </w:rPr>
            </w:pPr>
            <w:r w:rsidRPr="00AB53A6">
              <w:rPr>
                <w:sz w:val="19"/>
                <w:lang w:val="el-GR"/>
              </w:rPr>
              <w:t xml:space="preserve">Άκαμπτη </w:t>
            </w:r>
            <w:r>
              <w:rPr>
                <w:sz w:val="19"/>
              </w:rPr>
              <w:t>PU</w:t>
            </w:r>
            <w:r w:rsidRPr="00AB53A6">
              <w:rPr>
                <w:sz w:val="19"/>
                <w:lang w:val="el-GR"/>
              </w:rPr>
              <w:t xml:space="preserve"> &gt;= 100 </w:t>
            </w:r>
            <w:r>
              <w:rPr>
                <w:sz w:val="19"/>
              </w:rPr>
              <w:t>mm</w:t>
            </w:r>
            <w:r w:rsidRPr="00AB53A6">
              <w:rPr>
                <w:sz w:val="19"/>
                <w:lang w:val="el-GR"/>
              </w:rPr>
              <w:t xml:space="preserve"> με </w:t>
            </w:r>
            <w:r>
              <w:rPr>
                <w:sz w:val="19"/>
              </w:rPr>
              <w:t>PVC</w:t>
            </w:r>
          </w:p>
        </w:tc>
      </w:tr>
      <w:tr w:rsidR="00807C46" w14:paraId="146077F1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DA63D67" w14:textId="77777777" w:rsidR="00807C46" w:rsidRDefault="00000000">
            <w:proofErr w:type="spellStart"/>
            <w:r>
              <w:rPr>
                <w:b/>
                <w:sz w:val="19"/>
              </w:rPr>
              <w:t>Θερμικές</w:t>
            </w:r>
            <w:proofErr w:type="spellEnd"/>
            <w:r>
              <w:rPr>
                <w:b/>
                <w:sz w:val="19"/>
              </w:rPr>
              <w:t xml:space="preserve"> απ</w:t>
            </w:r>
            <w:proofErr w:type="spellStart"/>
            <w:r>
              <w:rPr>
                <w:b/>
                <w:sz w:val="19"/>
              </w:rPr>
              <w:t>ώλειες</w:t>
            </w:r>
            <w:proofErr w:type="spellEnd"/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D8EA518" w14:textId="77777777" w:rsidR="00807C46" w:rsidRDefault="00000000">
            <w:pPr>
              <w:jc w:val="center"/>
            </w:pPr>
            <w:r>
              <w:rPr>
                <w:sz w:val="19"/>
              </w:rPr>
              <w:t>&lt;= 110,5 W</w:t>
            </w:r>
          </w:p>
        </w:tc>
      </w:tr>
      <w:tr w:rsidR="00807C46" w14:paraId="3C0F8670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3E61385" w14:textId="77777777" w:rsidR="00807C46" w:rsidRDefault="00000000">
            <w:r>
              <w:rPr>
                <w:b/>
                <w:sz w:val="19"/>
              </w:rPr>
              <w:t>Κύριος εναλλάκτης Α/Θ</w:t>
            </w:r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C87AD48" w14:textId="77777777" w:rsidR="00807C46" w:rsidRDefault="00000000">
            <w:pPr>
              <w:jc w:val="center"/>
            </w:pPr>
            <w:r>
              <w:rPr>
                <w:sz w:val="19"/>
              </w:rPr>
              <w:t>&gt;= 6,0 m² / 58,8 L, διπλής σπείρας</w:t>
            </w:r>
          </w:p>
        </w:tc>
      </w:tr>
      <w:tr w:rsidR="00807C46" w:rsidRPr="00AB53A6" w14:paraId="35DE5E21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AA54404" w14:textId="77777777" w:rsidR="00807C46" w:rsidRDefault="00000000">
            <w:r>
              <w:rPr>
                <w:b/>
                <w:sz w:val="19"/>
              </w:rPr>
              <w:t>Ανάπτυξη κύριου εναλλάκτη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12F124F" w14:textId="77777777" w:rsidR="00807C46" w:rsidRPr="00AB53A6" w:rsidRDefault="00000000">
            <w:pPr>
              <w:jc w:val="center"/>
              <w:rPr>
                <w:lang w:val="el-GR"/>
              </w:rPr>
            </w:pPr>
            <w:r w:rsidRPr="00AB53A6">
              <w:rPr>
                <w:sz w:val="19"/>
                <w:lang w:val="el-GR"/>
              </w:rPr>
              <w:t>Σε τμήμα του ύψους του δοχείου, όχι σε όλο το μήκος</w:t>
            </w:r>
          </w:p>
        </w:tc>
      </w:tr>
      <w:tr w:rsidR="00807C46" w14:paraId="5797009C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ECDF460" w14:textId="77777777" w:rsidR="00807C46" w:rsidRDefault="00000000">
            <w:proofErr w:type="spellStart"/>
            <w:r>
              <w:rPr>
                <w:b/>
                <w:sz w:val="19"/>
              </w:rPr>
              <w:t>Δεύτερος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εν</w:t>
            </w:r>
            <w:proofErr w:type="spellEnd"/>
            <w:r>
              <w:rPr>
                <w:b/>
                <w:sz w:val="19"/>
              </w:rPr>
              <w:t>α</w:t>
            </w:r>
            <w:proofErr w:type="spellStart"/>
            <w:r>
              <w:rPr>
                <w:b/>
                <w:sz w:val="19"/>
              </w:rPr>
              <w:t>λλάκτης</w:t>
            </w:r>
            <w:proofErr w:type="spellEnd"/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E24DF4B" w14:textId="77777777" w:rsidR="00807C46" w:rsidRDefault="00000000">
            <w:pPr>
              <w:jc w:val="center"/>
            </w:pPr>
            <w:r>
              <w:rPr>
                <w:sz w:val="19"/>
              </w:rPr>
              <w:t>&gt;= 3,3 m² / 32,3 L</w:t>
            </w:r>
          </w:p>
        </w:tc>
      </w:tr>
      <w:tr w:rsidR="00807C46" w14:paraId="3F496917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6FF3BA2" w14:textId="77777777" w:rsidR="00807C46" w:rsidRDefault="00000000">
            <w:r>
              <w:rPr>
                <w:b/>
                <w:sz w:val="19"/>
              </w:rPr>
              <w:t>Μέγιστες συνθήκες εναλλακτών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89FA353" w14:textId="77777777" w:rsidR="00807C46" w:rsidRDefault="00000000">
            <w:pPr>
              <w:jc w:val="center"/>
            </w:pPr>
            <w:r>
              <w:rPr>
                <w:sz w:val="19"/>
              </w:rPr>
              <w:t>&gt;= 10 bar / 95 °C</w:t>
            </w:r>
          </w:p>
        </w:tc>
      </w:tr>
      <w:tr w:rsidR="00807C46" w14:paraId="1CA53FE2" w14:textId="77777777">
        <w:trPr>
          <w:jc w:val="center"/>
        </w:trPr>
        <w:tc>
          <w:tcPr>
            <w:tcW w:w="4989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E516B32" w14:textId="77777777" w:rsidR="00807C46" w:rsidRDefault="00000000">
            <w:r>
              <w:rPr>
                <w:b/>
                <w:sz w:val="19"/>
              </w:rPr>
              <w:t>Συμμόρφωση</w:t>
            </w:r>
          </w:p>
        </w:tc>
        <w:tc>
          <w:tcPr>
            <w:tcW w:w="4422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48A672F" w14:textId="77777777" w:rsidR="00807C46" w:rsidRDefault="00000000">
            <w:pPr>
              <w:jc w:val="center"/>
            </w:pPr>
            <w:r>
              <w:rPr>
                <w:sz w:val="19"/>
              </w:rPr>
              <w:t>PED 2014/68/EU Art. 4(3), ErP 2009/125/EC</w:t>
            </w:r>
          </w:p>
        </w:tc>
      </w:tr>
      <w:tr w:rsidR="00807C46" w14:paraId="1FE98FC8" w14:textId="77777777">
        <w:trPr>
          <w:jc w:val="center"/>
        </w:trPr>
        <w:tc>
          <w:tcPr>
            <w:tcW w:w="4989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A90715C" w14:textId="77777777" w:rsidR="00807C46" w:rsidRDefault="00000000">
            <w:r>
              <w:rPr>
                <w:b/>
                <w:sz w:val="19"/>
              </w:rPr>
              <w:t>Εγγύηση</w:t>
            </w:r>
          </w:p>
        </w:tc>
        <w:tc>
          <w:tcPr>
            <w:tcW w:w="4422" w:type="dxa"/>
            <w:shd w:val="clear" w:color="auto" w:fill="F8FBFF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25988FF" w14:textId="77777777" w:rsidR="00807C46" w:rsidRDefault="00000000">
            <w:pPr>
              <w:jc w:val="center"/>
            </w:pPr>
            <w:r>
              <w:rPr>
                <w:sz w:val="19"/>
              </w:rPr>
              <w:t>&gt;= 5 έτη</w:t>
            </w:r>
          </w:p>
        </w:tc>
      </w:tr>
    </w:tbl>
    <w:p w14:paraId="5E3DA9C5" w14:textId="77777777" w:rsidR="00807C46" w:rsidRDefault="00807C46"/>
    <w:p w14:paraId="7EA6DAA8" w14:textId="5B9841F0" w:rsidR="00807C46" w:rsidRPr="00AB53A6" w:rsidRDefault="00000000">
      <w:pPr>
        <w:pStyle w:val="SmallGray"/>
        <w:rPr>
          <w:lang w:val="el-GR"/>
        </w:rPr>
      </w:pPr>
      <w:r w:rsidRPr="00AB53A6">
        <w:rPr>
          <w:lang w:val="el-GR"/>
        </w:rPr>
        <w:t xml:space="preserve">Σημείωση: η παραπάνω </w:t>
      </w:r>
      <w:r w:rsidR="00AB53A6">
        <w:rPr>
          <w:lang w:val="el-GR"/>
        </w:rPr>
        <w:t>προδιαγραφή</w:t>
      </w:r>
      <w:r w:rsidRPr="00AB53A6">
        <w:rPr>
          <w:lang w:val="el-GR"/>
        </w:rPr>
        <w:t xml:space="preserve"> μπορεί να ενσωματωθεί αυτούσια ή με μικρές προσαρμογές σε τεύχη προδιαγραφών, τεχνικές περιγραφές και συγκριτικές αξιολογήσεις.</w:t>
      </w:r>
    </w:p>
    <w:sectPr w:rsidR="00807C46" w:rsidRPr="00AB53A6" w:rsidSect="00034616">
      <w:footerReference w:type="default" r:id="rId10"/>
      <w:pgSz w:w="11906" w:h="16838"/>
      <w:pgMar w:top="1134" w:right="1020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0C91" w14:textId="77777777" w:rsidR="00382CD7" w:rsidRDefault="00382CD7">
      <w:pPr>
        <w:spacing w:after="0" w:line="240" w:lineRule="auto"/>
      </w:pPr>
      <w:r>
        <w:separator/>
      </w:r>
    </w:p>
  </w:endnote>
  <w:endnote w:type="continuationSeparator" w:id="0">
    <w:p w14:paraId="643579E7" w14:textId="77777777" w:rsidR="00382CD7" w:rsidRDefault="0038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1381" w14:textId="77777777" w:rsidR="00807C46" w:rsidRDefault="00000000">
    <w:pPr>
      <w:pStyle w:val="Footer"/>
      <w:jc w:val="right"/>
    </w:pPr>
    <w:r>
      <w:fldChar w:fldCharType="begin"/>
    </w:r>
    <w:r>
      <w:instrText xml:space="preserve"> PAGE </w:instrText>
    </w:r>
    <w:r w:rsidR="00AB53A6">
      <w:fldChar w:fldCharType="separate"/>
    </w:r>
    <w:r w:rsidR="00AB53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3B68" w14:textId="77777777" w:rsidR="00382CD7" w:rsidRDefault="00382CD7">
      <w:pPr>
        <w:spacing w:after="0" w:line="240" w:lineRule="auto"/>
      </w:pPr>
      <w:r>
        <w:separator/>
      </w:r>
    </w:p>
  </w:footnote>
  <w:footnote w:type="continuationSeparator" w:id="0">
    <w:p w14:paraId="391914AD" w14:textId="77777777" w:rsidR="00382CD7" w:rsidRDefault="0038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477458">
    <w:abstractNumId w:val="8"/>
  </w:num>
  <w:num w:numId="2" w16cid:durableId="1625429215">
    <w:abstractNumId w:val="6"/>
  </w:num>
  <w:num w:numId="3" w16cid:durableId="1528444520">
    <w:abstractNumId w:val="5"/>
  </w:num>
  <w:num w:numId="4" w16cid:durableId="1242450950">
    <w:abstractNumId w:val="4"/>
  </w:num>
  <w:num w:numId="5" w16cid:durableId="1051612600">
    <w:abstractNumId w:val="7"/>
  </w:num>
  <w:num w:numId="6" w16cid:durableId="140391175">
    <w:abstractNumId w:val="3"/>
  </w:num>
  <w:num w:numId="7" w16cid:durableId="265845129">
    <w:abstractNumId w:val="2"/>
  </w:num>
  <w:num w:numId="8" w16cid:durableId="1720398096">
    <w:abstractNumId w:val="1"/>
  </w:num>
  <w:num w:numId="9" w16cid:durableId="121079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2CD7"/>
    <w:rsid w:val="00807C46"/>
    <w:rsid w:val="00AA1D8D"/>
    <w:rsid w:val="00AB53A6"/>
    <w:rsid w:val="00B47730"/>
    <w:rsid w:val="00CB0664"/>
    <w:rsid w:val="00D731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E31787"/>
  <w14:defaultImageDpi w14:val="300"/>
  <w15:docId w15:val="{02CFE4B4-B4D1-F54F-91CC-76DCDCC0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14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6B7B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GTHeading1">
    <w:name w:val="GT Heading 1"/>
    <w:basedOn w:val="Heading1"/>
    <w:pPr>
      <w:spacing w:before="240" w:after="100"/>
    </w:pPr>
    <w:rPr>
      <w:rFonts w:ascii="Aptos" w:eastAsia="Aptos" w:hAnsi="Aptos"/>
      <w:color w:val="173148"/>
    </w:rPr>
  </w:style>
  <w:style w:type="paragraph" w:customStyle="1" w:styleId="GTHeading2">
    <w:name w:val="GT Heading 2"/>
    <w:basedOn w:val="Heading2"/>
    <w:pPr>
      <w:spacing w:before="140" w:after="40"/>
    </w:pPr>
    <w:rPr>
      <w:rFonts w:ascii="Aptos" w:eastAsia="Aptos" w:hAnsi="Aptos"/>
      <w:color w:val="1F4E79"/>
      <w:sz w:val="23"/>
    </w:rPr>
  </w:style>
  <w:style w:type="paragraph" w:customStyle="1" w:styleId="SmallGray">
    <w:name w:val="Small Gray"/>
    <w:basedOn w:val="Normal"/>
    <w:pPr>
      <w:spacing w:after="0"/>
    </w:pPr>
    <w:rPr>
      <w:color w:val="6B7280"/>
      <w:sz w:val="17"/>
    </w:rPr>
  </w:style>
  <w:style w:type="paragraph" w:customStyle="1" w:styleId="BodyTight">
    <w:name w:val="Body Tight"/>
    <w:basedOn w:val="Normal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853</Words>
  <Characters>5001</Characters>
  <Application>Microsoft Office Word</Application>
  <DocSecurity>0</DocSecurity>
  <Lines>119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GENIKI THERMANSEON GROUP SA</dc:creator>
  <cp:keywords/>
  <dc:description>® ΓΕΝΙΚΗ ΘΕΡΜΑΝΣΕΩΝ ΓΚΡΟΥΠ ΑΕ</dc:description>
  <cp:lastModifiedBy>Petros Chatzianastasiou</cp:lastModifiedBy>
  <cp:revision>2</cp:revision>
  <dcterms:created xsi:type="dcterms:W3CDTF">2013-12-23T23:15:00Z</dcterms:created>
  <dcterms:modified xsi:type="dcterms:W3CDTF">2026-04-06T13:10:00Z</dcterms:modified>
  <cp:category/>
</cp:coreProperties>
</file>